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Be Sensitive to the Students’ Fear of Failure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How to get the most out of a 1 to 35 class ratio? Providing Effective Support to all Acceleration Students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Presenters: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Julia Raybould-Rodgers and Chellis Ying at Allan Hancock College (Santa Maria, CA)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725.0" w:type="dxa"/>
        <w:jc w:val="left"/>
        <w:tblInd w:w="-3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11220"/>
        <w:tblGridChange w:id="0">
          <w:tblGrid>
            <w:gridCol w:w="2505"/>
            <w:gridCol w:w="11220"/>
          </w:tblGrid>
        </w:tblGridChange>
      </w:tblGrid>
      <w:t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Scenario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How would you respond to this student and change the narrative to avoid or mend emotional triggers?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The Excuse Makers: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“I didn’t finish the writing assignment. I have a job and three other classes to take.”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The Insecure: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“English is my worse subject. I don’t like to read.”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highlight w:val="white"/>
                <w:rtl w:val="0"/>
              </w:rPr>
              <w:t xml:space="preserve">The Anxious Grade Watcher: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“Why is my grade so low? Why did you dock me one point on my reading journal?”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Developing Relevant Thinking-Oriented Curriculum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How to get the most out of a 1 to 35 class ratio? Providing Effective Support to all Acceleration Students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Presenters: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Julia Raybould-Rodgers and Chellis Ying at Allan Hancock College (Santa Maria, CA)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45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Directions: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Brainstorm a single-themed curriculum topic, sub units within this theme, and potential materials that supports this theme.</w:t>
      </w:r>
    </w:p>
    <w:p w:rsidR="00000000" w:rsidDel="00000000" w:rsidP="00000000" w:rsidRDefault="00000000" w:rsidRPr="00000000">
      <w:pPr>
        <w:pBdr/>
        <w:ind w:left="-45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4370.0" w:type="dxa"/>
        <w:jc w:val="left"/>
        <w:tblInd w:w="-7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2985"/>
        <w:gridCol w:w="3150"/>
        <w:gridCol w:w="3060"/>
        <w:gridCol w:w="3135"/>
        <w:tblGridChange w:id="0">
          <w:tblGrid>
            <w:gridCol w:w="2040"/>
            <w:gridCol w:w="2985"/>
            <w:gridCol w:w="3150"/>
            <w:gridCol w:w="3060"/>
            <w:gridCol w:w="3135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Themes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4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Your Single-Theme Curriculum: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Unit Theme: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Unit Theme: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Unit Theme: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Unit Theme: </w:t>
            </w:r>
          </w:p>
        </w:tc>
      </w:tr>
      <w:tr>
        <w:trPr>
          <w:trHeight w:val="780" w:hRule="atLeast"/>
        </w:trPr>
        <w:tc>
          <w:tcPr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Full length texts: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Scholarly material and challenging readings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New Media Material (podcasts, videos and movies)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Examples from “Success” Curriculum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4235.0" w:type="dxa"/>
        <w:jc w:val="left"/>
        <w:tblInd w:w="-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3090"/>
        <w:gridCol w:w="3195"/>
        <w:gridCol w:w="3060"/>
        <w:gridCol w:w="3030"/>
        <w:tblGridChange w:id="0">
          <w:tblGrid>
            <w:gridCol w:w="1860"/>
            <w:gridCol w:w="3090"/>
            <w:gridCol w:w="3195"/>
            <w:gridCol w:w="3060"/>
            <w:gridCol w:w="30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Themes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Success: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What defines a successful life?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1: How much success is outside of one’s control?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Themes: Ethnicity, Stereotypes, Socio-economic background, gender, and Cultural Legacy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2: How does grit contribute to success?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Themes: Intrinsic vs. Extrinsic motivation, education and parental influence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3: What factors, other than wealth, contribute to a successful life?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Themes: Happiness, physical health, political power, personal satisfaction, community, etc.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4: How do ethics influence success?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Themes: Integrity, ambition, and getting ahead at the expense of others</w:t>
            </w:r>
          </w:p>
        </w:tc>
      </w:tr>
      <w:tr>
        <w:tc>
          <w:tcPr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Full length text: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Malcolm Gladwell’s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Outliers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and Wes Moore’s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The Other Wes Moore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Scholarly material and challenging readings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Claude M. Steele’s “Thin Ice: ‘Stereotype Threat’ and Black College Students” and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Langston Clark et al’s “Generations: Academic and Athletic Integration of a Southern PWI Basketball Program”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Amy Chua’s “Why Chinese Mothers Are Superior,”and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highlight w:val="white"/>
                <w:rtl w:val="0"/>
              </w:rPr>
              <w:t xml:space="preserve">Zorana Ivcevic and Marc Brackett’s “Predicting School Success: Comparing Conscientiousness, Grit and Emotion Regulation Ability”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Karl Marx’s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Communist Manifesto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, ch 1 &amp; 2, Henry David Thoreau’s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Walden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“Chapter 1: Economy,” and David G. Blanchflower’s “International Happiness: A New View on the Measure of Performance”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Budd Schulberg’s “What Makes Sammy Run?” and “Love Comes to Sammy Glick,” Benjamin M. Friedman’s “The Moral Consequences of Economic Growth,” and Niccolo Machiavelli’s “The Prince”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New Media Material (podcasts, videos and movies)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[PODCAST]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Hidden Brain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: “</w:t>
            </w: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highlight w:val="white"/>
                <w:rtl w:val="0"/>
              </w:rPr>
              <w:t xml:space="preserve">An Ace Up The Poker Star's Sleeve: The Surprising Upside Of Stereotypes”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(~27 min), [PODCAST]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This American Life: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“How I got into College” (~57:27 min), and [PODCAST]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RadioLab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: “On the Edge” (~45 min)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[VIDEO] TEDxTalks: Angela Lee Duckworth’s “The key to success: Grit” (~ 6 min.), and [VIDEO]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PBS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: “Victor Rios: One Man’s Journey from Gang Member to Academia” (~10 min)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[PODCAST]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Invisibilia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: “How to Become Batman”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[PODCAST] Planet Money: “Finding the Fake News King” (~18:45 min) and [PODCAST]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StartUp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: “Almost Famous” and “Gaming the System” (~30 min) (~36 min)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1008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